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F65" w:rsidRPr="00754F65" w:rsidRDefault="00754F65" w:rsidP="00754F65">
      <w:pPr>
        <w:shd w:val="clear" w:color="auto" w:fill="F5F5F5"/>
        <w:spacing w:before="600" w:after="300" w:line="240" w:lineRule="auto"/>
        <w:outlineLvl w:val="0"/>
        <w:rPr>
          <w:rFonts w:ascii="Open Sans" w:eastAsia="Times New Roman" w:hAnsi="Open Sans"/>
          <w:b/>
          <w:color w:val="1C1C1E"/>
          <w:kern w:val="36"/>
          <w:sz w:val="27"/>
          <w:szCs w:val="27"/>
          <w:lang w:eastAsia="lv-LV"/>
        </w:rPr>
      </w:pPr>
      <w:r w:rsidRPr="00754F65">
        <w:rPr>
          <w:rFonts w:ascii="Open Sans" w:eastAsia="Times New Roman" w:hAnsi="Open Sans"/>
          <w:b/>
          <w:color w:val="1C1C1E"/>
          <w:kern w:val="36"/>
          <w:sz w:val="27"/>
          <w:szCs w:val="27"/>
          <w:lang w:eastAsia="lv-LV"/>
        </w:rPr>
        <w:t>Pat</w:t>
      </w:r>
      <w:r>
        <w:rPr>
          <w:rFonts w:ascii="Open Sans" w:eastAsia="Times New Roman" w:hAnsi="Open Sans"/>
          <w:b/>
          <w:color w:val="1C1C1E"/>
          <w:kern w:val="36"/>
          <w:sz w:val="27"/>
          <w:szCs w:val="27"/>
          <w:lang w:eastAsia="lv-LV"/>
        </w:rPr>
        <w:t>ērētāju tiesību aizsardzības centra skaidrojums patērētājiem:</w:t>
      </w:r>
    </w:p>
    <w:p w:rsidR="00754F65" w:rsidRPr="00754F65" w:rsidRDefault="00754F65" w:rsidP="00754F65">
      <w:pPr>
        <w:shd w:val="clear" w:color="auto" w:fill="F5F5F5"/>
        <w:spacing w:before="600" w:after="300" w:line="240" w:lineRule="auto"/>
        <w:outlineLvl w:val="0"/>
        <w:rPr>
          <w:rFonts w:ascii="Open Sans" w:eastAsia="Times New Roman" w:hAnsi="Open Sans"/>
          <w:b/>
          <w:color w:val="1C1C1E"/>
          <w:kern w:val="36"/>
          <w:sz w:val="33"/>
          <w:szCs w:val="27"/>
          <w:lang w:eastAsia="lv-LV"/>
        </w:rPr>
      </w:pPr>
      <w:r w:rsidRPr="00754F65">
        <w:rPr>
          <w:rFonts w:ascii="Open Sans" w:eastAsia="Times New Roman" w:hAnsi="Open Sans"/>
          <w:b/>
          <w:color w:val="1C1C1E"/>
          <w:kern w:val="36"/>
          <w:sz w:val="33"/>
          <w:szCs w:val="27"/>
          <w:lang w:eastAsia="lv-LV"/>
        </w:rPr>
        <w:t>Ūdens zudumi un to aprēķināšanas kārtība</w:t>
      </w:r>
    </w:p>
    <w:p w:rsidR="00754F65" w:rsidRPr="00754F65" w:rsidRDefault="00754F65" w:rsidP="00754F65">
      <w:pPr>
        <w:shd w:val="clear" w:color="auto" w:fill="F5F5F5"/>
        <w:spacing w:after="150" w:line="360" w:lineRule="atLeast"/>
        <w:rPr>
          <w:rFonts w:ascii="Open Sans" w:eastAsia="Times New Roman" w:hAnsi="Open Sans"/>
          <w:color w:val="707070"/>
          <w:sz w:val="25"/>
          <w:szCs w:val="23"/>
          <w:lang w:eastAsia="lv-LV"/>
        </w:rPr>
      </w:pPr>
      <w:r w:rsidRPr="00754F65">
        <w:rPr>
          <w:rFonts w:ascii="Open Sans" w:eastAsia="Times New Roman" w:hAnsi="Open Sans"/>
          <w:color w:val="707070"/>
          <w:sz w:val="25"/>
          <w:szCs w:val="23"/>
          <w:lang w:eastAsia="lv-LV"/>
        </w:rPr>
        <w:t>Ūdens zudumus un to aprēķināšanas kārtību reglamentē vairāki normatīvie akti, kā arī šis regulējums var tikt noteikts ar līgumu.</w:t>
      </w:r>
      <w:r w:rsidRPr="00754F65">
        <w:rPr>
          <w:rFonts w:ascii="Open Sans" w:eastAsia="Times New Roman" w:hAnsi="Open Sans"/>
          <w:color w:val="707070"/>
          <w:sz w:val="25"/>
          <w:szCs w:val="23"/>
          <w:lang w:eastAsia="lv-LV"/>
        </w:rPr>
        <w:br/>
      </w:r>
      <w:r w:rsidRPr="00754F65">
        <w:rPr>
          <w:rFonts w:ascii="Open Sans" w:eastAsia="Times New Roman" w:hAnsi="Open Sans"/>
          <w:color w:val="707070"/>
          <w:sz w:val="25"/>
          <w:szCs w:val="23"/>
          <w:lang w:eastAsia="lv-LV"/>
        </w:rPr>
        <w:br/>
        <w:t>1) Ja dzīvokļa īpašnieks dzīvo mājā, kuru apsaimnieko valsts dzīvojamās mājas valdītājs vai apsaimnieko ar pašvaldības starpniecību, tad norēķināšanās kārtību par saņemtajiem komunālajiem pakalpojumiem regulē Ministru kabineta 2008.gada 9.decembra noteikumi Nr.1013 </w:t>
      </w:r>
      <w:hyperlink r:id="rId5" w:history="1">
        <w:r w:rsidRPr="00754F65">
          <w:rPr>
            <w:rFonts w:ascii="Open Sans" w:eastAsia="Times New Roman" w:hAnsi="Open Sans"/>
            <w:i/>
            <w:iCs/>
            <w:color w:val="009999"/>
            <w:sz w:val="25"/>
            <w:szCs w:val="23"/>
            <w:lang w:eastAsia="lv-LV"/>
          </w:rPr>
          <w:t>Kārtība, kādā dzīvokļa īpašnieks daudzdzīvokļu dzīvojamā mājā norēķinās par pakalpojumiem, kas saistīti ar dzīvokļa īpašuma lietošanu</w:t>
        </w:r>
      </w:hyperlink>
      <w:r w:rsidRPr="00754F65">
        <w:rPr>
          <w:rFonts w:ascii="Open Sans" w:eastAsia="Times New Roman" w:hAnsi="Open Sans"/>
          <w:color w:val="707070"/>
          <w:sz w:val="25"/>
          <w:szCs w:val="23"/>
          <w:lang w:eastAsia="lv-LV"/>
        </w:rPr>
        <w:t> (turpmāk – Noteikumi Nr. 1013).</w:t>
      </w:r>
      <w:r w:rsidRPr="00754F65">
        <w:rPr>
          <w:rFonts w:ascii="Open Sans" w:eastAsia="Times New Roman" w:hAnsi="Open Sans"/>
          <w:color w:val="707070"/>
          <w:sz w:val="25"/>
          <w:szCs w:val="23"/>
          <w:lang w:eastAsia="lv-LV"/>
        </w:rPr>
        <w:br/>
      </w:r>
      <w:r w:rsidRPr="00754F65">
        <w:rPr>
          <w:rFonts w:ascii="Open Sans" w:eastAsia="Times New Roman" w:hAnsi="Open Sans"/>
          <w:color w:val="707070"/>
          <w:sz w:val="25"/>
          <w:szCs w:val="23"/>
          <w:lang w:eastAsia="lv-LV"/>
        </w:rPr>
        <w:br/>
      </w:r>
      <w:r w:rsidRPr="00754F65">
        <w:rPr>
          <w:rFonts w:ascii="Open Sans" w:eastAsia="Times New Roman" w:hAnsi="Open Sans"/>
          <w:b/>
          <w:bCs/>
          <w:color w:val="707070"/>
          <w:sz w:val="25"/>
          <w:szCs w:val="23"/>
          <w:lang w:eastAsia="lv-LV"/>
        </w:rPr>
        <w:t>Savukārt, ja daudzdzīvokļu dzīvojamo māju apsaimnieko SIA, kas nav pašvaldības uzņēmums, Noteikumi Nr. 1013 var tikt piemēroti tikai tādā gadījumā, ja par to dzīvokļu īpašnieki ir vienojušies kopsapulcē.</w:t>
      </w:r>
    </w:p>
    <w:p w:rsidR="00754F65" w:rsidRPr="00754F65" w:rsidRDefault="00754F65" w:rsidP="00754F65">
      <w:pPr>
        <w:shd w:val="clear" w:color="auto" w:fill="F5F5F5"/>
        <w:spacing w:after="150" w:line="360" w:lineRule="atLeast"/>
        <w:rPr>
          <w:rFonts w:ascii="Open Sans" w:eastAsia="Times New Roman" w:hAnsi="Open Sans"/>
          <w:color w:val="707070"/>
          <w:sz w:val="25"/>
          <w:szCs w:val="23"/>
          <w:lang w:eastAsia="lv-LV"/>
        </w:rPr>
      </w:pPr>
      <w:r w:rsidRPr="00754F65">
        <w:rPr>
          <w:rFonts w:ascii="Open Sans" w:eastAsia="Times New Roman" w:hAnsi="Open Sans"/>
          <w:color w:val="707070"/>
          <w:sz w:val="25"/>
          <w:szCs w:val="23"/>
          <w:lang w:eastAsia="lv-LV"/>
        </w:rPr>
        <w:t>Līdz 2013.gada 30.septembrim (ieskaitot) </w:t>
      </w:r>
      <w:hyperlink r:id="rId6" w:history="1">
        <w:r w:rsidRPr="00754F65">
          <w:rPr>
            <w:rFonts w:ascii="Open Sans" w:eastAsia="Times New Roman" w:hAnsi="Open Sans"/>
            <w:i/>
            <w:iCs/>
            <w:color w:val="009999"/>
            <w:sz w:val="25"/>
            <w:szCs w:val="23"/>
            <w:lang w:eastAsia="lv-LV"/>
          </w:rPr>
          <w:t>Noteikumu Nr. 1013</w:t>
        </w:r>
      </w:hyperlink>
      <w:r w:rsidRPr="00754F65">
        <w:rPr>
          <w:rFonts w:ascii="Open Sans" w:eastAsia="Times New Roman" w:hAnsi="Open Sans"/>
          <w:color w:val="707070"/>
          <w:sz w:val="25"/>
          <w:szCs w:val="23"/>
          <w:lang w:eastAsia="lv-LV"/>
        </w:rPr>
        <w:t> 19.punkts attiecībā par ūdens patēriņa starpību (ūdens patēriņa korekcija) paredzēja, ja dzīvojamās mājas aukstā ūdens ievadā, kā arī kādā atsevišķā īpašumā vai visos atsevišķajos īpašumos ir uzstādīti skaitītāji un tie ir pārbaudīti, bet veidojas starpība starp mājas kopējā skaitītāja rādījumu un dzīvokļu īpašumos noteikto ūdens patēriņu, ieskaitot arī avārijās un remontā nopludināto ūdens daudzumu (turpmāk – ūdens patēriņa starpība), tiek veikts ūdens patēriņa pārrēķins, ūdens patēriņa starpību sadalot proporcionāli ūdens patēriņam dzīvokļu īpašumos, ievērojot šo noteikumu 28. un 30.punktā minētos nosacījumus. Savukārt </w:t>
      </w:r>
      <w:r w:rsidRPr="00754F65">
        <w:rPr>
          <w:rFonts w:ascii="Open Sans" w:eastAsia="Times New Roman" w:hAnsi="Open Sans"/>
          <w:color w:val="707070"/>
          <w:sz w:val="25"/>
          <w:szCs w:val="23"/>
          <w:u w:val="single"/>
          <w:lang w:eastAsia="lv-LV"/>
        </w:rPr>
        <w:t>no 2013.gada 1.oktobra</w:t>
      </w:r>
      <w:r w:rsidRPr="00754F65">
        <w:rPr>
          <w:rFonts w:ascii="Open Sans" w:eastAsia="Times New Roman" w:hAnsi="Open Sans"/>
          <w:color w:val="707070"/>
          <w:sz w:val="25"/>
          <w:szCs w:val="23"/>
          <w:lang w:eastAsia="lv-LV"/>
        </w:rPr>
        <w:t> </w:t>
      </w:r>
      <w:hyperlink r:id="rId7" w:history="1">
        <w:r w:rsidRPr="00754F65">
          <w:rPr>
            <w:rFonts w:ascii="Open Sans" w:eastAsia="Times New Roman" w:hAnsi="Open Sans"/>
            <w:i/>
            <w:iCs/>
            <w:color w:val="009999"/>
            <w:sz w:val="25"/>
            <w:szCs w:val="23"/>
            <w:lang w:eastAsia="lv-LV"/>
          </w:rPr>
          <w:t>Noteikumu Nr. 1013</w:t>
        </w:r>
      </w:hyperlink>
      <w:r w:rsidRPr="00754F65">
        <w:rPr>
          <w:rFonts w:ascii="Open Sans" w:eastAsia="Times New Roman" w:hAnsi="Open Sans"/>
          <w:color w:val="707070"/>
          <w:sz w:val="25"/>
          <w:szCs w:val="23"/>
          <w:lang w:eastAsia="lv-LV"/>
        </w:rPr>
        <w:t> 19.punktā ir veikti grozījumi, proti, jaunā redakcija paredz, ja veidojas starpība starp mājas kopējā ūdens skaitītāja rādījumu un dzīvokļu īpašumos ar skaitītājiem noteikto ūdens patēriņu, ieskaitot arī avārijās un remontā nopludināto ūdens daudzumu (turpmāk – ūdens patēriņa starpība), tiek veikts ūdens patēriņa pārrēķins. Dzīvokļa īpašnieks ūdens patēriņa starpību sedz atbilstoši atsevišķo īpašumu skaitam.</w:t>
      </w:r>
    </w:p>
    <w:p w:rsidR="00754F65" w:rsidRPr="00754F65" w:rsidRDefault="00754F65" w:rsidP="00754F65">
      <w:pPr>
        <w:shd w:val="clear" w:color="auto" w:fill="F5F5F5"/>
        <w:spacing w:after="150" w:line="360" w:lineRule="atLeast"/>
        <w:rPr>
          <w:rFonts w:ascii="Open Sans" w:eastAsia="Times New Roman" w:hAnsi="Open Sans"/>
          <w:color w:val="707070"/>
          <w:sz w:val="25"/>
          <w:szCs w:val="23"/>
          <w:lang w:eastAsia="lv-LV"/>
        </w:rPr>
      </w:pPr>
      <w:r w:rsidRPr="00754F65">
        <w:rPr>
          <w:rFonts w:ascii="Open Sans" w:eastAsia="Times New Roman" w:hAnsi="Open Sans"/>
          <w:color w:val="707070"/>
          <w:sz w:val="25"/>
          <w:szCs w:val="23"/>
          <w:lang w:eastAsia="lv-LV"/>
        </w:rPr>
        <w:t>Grozījumi paredz, ka, pastāvot ūdens patēriņa starpībai starp centrālo skaitītāju un dzīvokļos uzstādītajiem skaitītājiem, tiek veikts ūdens patēriņa pārrēķins, starpību sadalot proporcionāli atsevišķo dzīvokļu īpašumu skaitam.</w:t>
      </w:r>
    </w:p>
    <w:p w:rsidR="00754F65" w:rsidRPr="00754F65" w:rsidRDefault="00754F65" w:rsidP="00754F65">
      <w:pPr>
        <w:shd w:val="clear" w:color="auto" w:fill="F5F5F5"/>
        <w:spacing w:after="150" w:line="360" w:lineRule="atLeast"/>
        <w:rPr>
          <w:rFonts w:ascii="Open Sans" w:eastAsia="Times New Roman" w:hAnsi="Open Sans"/>
          <w:color w:val="707070"/>
          <w:sz w:val="25"/>
          <w:szCs w:val="23"/>
          <w:lang w:eastAsia="lv-LV"/>
        </w:rPr>
      </w:pPr>
      <w:hyperlink r:id="rId8" w:history="1">
        <w:r w:rsidRPr="00754F65">
          <w:rPr>
            <w:rFonts w:ascii="Open Sans" w:eastAsia="Times New Roman" w:hAnsi="Open Sans"/>
            <w:i/>
            <w:iCs/>
            <w:color w:val="009999"/>
            <w:sz w:val="25"/>
            <w:szCs w:val="23"/>
            <w:lang w:eastAsia="lv-LV"/>
          </w:rPr>
          <w:t>Noteikumu Nr. 1013</w:t>
        </w:r>
      </w:hyperlink>
      <w:r w:rsidRPr="00754F65">
        <w:rPr>
          <w:rFonts w:ascii="Open Sans" w:eastAsia="Times New Roman" w:hAnsi="Open Sans"/>
          <w:color w:val="707070"/>
          <w:sz w:val="25"/>
          <w:szCs w:val="23"/>
          <w:lang w:eastAsia="lv-LV"/>
        </w:rPr>
        <w:t> ir papildināti ar 19.1punktu, kas nosaka, ka šo noteikumu 19.punktā minēto ūdens patēriņa starpības sadales kārtību nepiemēro, bet ūdens patēriņa starpību sadala atbilstoši atsevišķo īpašumu skaitam starp šādiem dzīvokļu īpašniekiem (ja tādi ir dzīvojamā mājā):</w:t>
      </w:r>
    </w:p>
    <w:p w:rsidR="00754F65" w:rsidRPr="00754F65" w:rsidRDefault="00754F65" w:rsidP="00754F65">
      <w:pPr>
        <w:numPr>
          <w:ilvl w:val="0"/>
          <w:numId w:val="1"/>
        </w:numPr>
        <w:shd w:val="clear" w:color="auto" w:fill="F5F5F5"/>
        <w:spacing w:before="100" w:beforeAutospacing="1" w:after="100" w:afterAutospacing="1" w:line="360" w:lineRule="atLeast"/>
        <w:ind w:left="0" w:firstLine="0"/>
        <w:rPr>
          <w:rFonts w:ascii="Open Sans" w:eastAsia="Times New Roman" w:hAnsi="Open Sans"/>
          <w:color w:val="707070"/>
          <w:sz w:val="25"/>
          <w:szCs w:val="23"/>
          <w:lang w:eastAsia="lv-LV"/>
        </w:rPr>
      </w:pPr>
      <w:r w:rsidRPr="00754F65">
        <w:rPr>
          <w:rFonts w:ascii="Open Sans" w:eastAsia="Times New Roman" w:hAnsi="Open Sans"/>
          <w:color w:val="707070"/>
          <w:sz w:val="25"/>
          <w:szCs w:val="23"/>
          <w:lang w:eastAsia="lv-LV"/>
        </w:rPr>
        <w:t>kuri nav iesnieguši informāciju par ūdens skaitītāja rādījumu vismaz trīs mēnešus pēc kārtas;</w:t>
      </w:r>
    </w:p>
    <w:p w:rsidR="00754F65" w:rsidRPr="00754F65" w:rsidRDefault="00754F65" w:rsidP="00754F65">
      <w:pPr>
        <w:numPr>
          <w:ilvl w:val="0"/>
          <w:numId w:val="1"/>
        </w:numPr>
        <w:shd w:val="clear" w:color="auto" w:fill="F5F5F5"/>
        <w:spacing w:before="100" w:beforeAutospacing="1" w:after="100" w:afterAutospacing="1" w:line="360" w:lineRule="atLeast"/>
        <w:ind w:left="0" w:firstLine="0"/>
        <w:rPr>
          <w:rFonts w:ascii="Open Sans" w:eastAsia="Times New Roman" w:hAnsi="Open Sans"/>
          <w:color w:val="707070"/>
          <w:sz w:val="25"/>
          <w:szCs w:val="23"/>
          <w:lang w:eastAsia="lv-LV"/>
        </w:rPr>
      </w:pPr>
      <w:r w:rsidRPr="00754F65">
        <w:rPr>
          <w:rFonts w:ascii="Open Sans" w:eastAsia="Times New Roman" w:hAnsi="Open Sans"/>
          <w:color w:val="707070"/>
          <w:sz w:val="25"/>
          <w:szCs w:val="23"/>
          <w:lang w:eastAsia="lv-LV"/>
        </w:rPr>
        <w:t>kuru atsevišķajos īpašumos ūdens patēriņa skaitītāji nav uzstādīti;</w:t>
      </w:r>
    </w:p>
    <w:p w:rsidR="00754F65" w:rsidRPr="00754F65" w:rsidRDefault="00754F65" w:rsidP="00754F65">
      <w:pPr>
        <w:numPr>
          <w:ilvl w:val="0"/>
          <w:numId w:val="1"/>
        </w:numPr>
        <w:shd w:val="clear" w:color="auto" w:fill="F5F5F5"/>
        <w:spacing w:before="100" w:beforeAutospacing="1" w:after="100" w:afterAutospacing="1" w:line="360" w:lineRule="atLeast"/>
        <w:ind w:left="0" w:firstLine="0"/>
        <w:rPr>
          <w:rFonts w:ascii="Open Sans" w:eastAsia="Times New Roman" w:hAnsi="Open Sans"/>
          <w:color w:val="707070"/>
          <w:sz w:val="25"/>
          <w:szCs w:val="23"/>
          <w:lang w:eastAsia="lv-LV"/>
        </w:rPr>
      </w:pPr>
      <w:r w:rsidRPr="00754F65">
        <w:rPr>
          <w:rFonts w:ascii="Open Sans" w:eastAsia="Times New Roman" w:hAnsi="Open Sans"/>
          <w:color w:val="707070"/>
          <w:sz w:val="25"/>
          <w:szCs w:val="23"/>
          <w:lang w:eastAsia="lv-LV"/>
        </w:rPr>
        <w:lastRenderedPageBreak/>
        <w:t>kuri atkārtoti nav ļāvuši pārvaldniekam veikt savā dzīvokļa īpašumā esošo ūdens patēriņa skaitītāju pārbaudi, ja pārvaldnieks par šādas pārbaudes veikšanu rakstiski paziņojis vismaz nedēļu iepriekš, nosūtot paziņojumu uz dzīvokļa īpašumu, kurā plānota skaitītāju pārbaude;</w:t>
      </w:r>
    </w:p>
    <w:p w:rsidR="00754F65" w:rsidRPr="00754F65" w:rsidRDefault="00754F65" w:rsidP="00754F65">
      <w:pPr>
        <w:numPr>
          <w:ilvl w:val="0"/>
          <w:numId w:val="1"/>
        </w:numPr>
        <w:shd w:val="clear" w:color="auto" w:fill="F5F5F5"/>
        <w:spacing w:before="100" w:beforeAutospacing="1" w:after="100" w:afterAutospacing="1" w:line="360" w:lineRule="atLeast"/>
        <w:ind w:left="0" w:firstLine="0"/>
        <w:rPr>
          <w:rFonts w:ascii="Open Sans" w:eastAsia="Times New Roman" w:hAnsi="Open Sans"/>
          <w:color w:val="707070"/>
          <w:sz w:val="25"/>
          <w:szCs w:val="23"/>
          <w:lang w:eastAsia="lv-LV"/>
        </w:rPr>
      </w:pPr>
      <w:r w:rsidRPr="00754F65">
        <w:rPr>
          <w:rFonts w:ascii="Open Sans" w:eastAsia="Times New Roman" w:hAnsi="Open Sans"/>
          <w:color w:val="707070"/>
          <w:sz w:val="25"/>
          <w:szCs w:val="23"/>
          <w:lang w:eastAsia="lv-LV"/>
        </w:rPr>
        <w:t>kuru dzīvokļa īpašumā esošo ūdens patēriņa skaitītāju pārbaudē konstatēts, ka ūdens patēriņa skaitītāji ir bojāti, tie nav noplombēti, to plombējums ir bojāts vai tie nav verificēti triju mēnešu laikā pēc verificēšanas termiņa beigām.</w:t>
      </w:r>
    </w:p>
    <w:p w:rsidR="00754F65" w:rsidRPr="00754F65" w:rsidRDefault="00754F65" w:rsidP="00754F65">
      <w:pPr>
        <w:shd w:val="clear" w:color="auto" w:fill="F5F5F5"/>
        <w:spacing w:after="150" w:line="360" w:lineRule="atLeast"/>
        <w:rPr>
          <w:rFonts w:ascii="Open Sans" w:eastAsia="Times New Roman" w:hAnsi="Open Sans"/>
          <w:color w:val="707070"/>
          <w:sz w:val="25"/>
          <w:szCs w:val="23"/>
          <w:lang w:eastAsia="lv-LV"/>
        </w:rPr>
      </w:pPr>
      <w:hyperlink r:id="rId9" w:history="1">
        <w:r w:rsidRPr="00754F65">
          <w:rPr>
            <w:rFonts w:ascii="Open Sans" w:eastAsia="Times New Roman" w:hAnsi="Open Sans"/>
            <w:i/>
            <w:iCs/>
            <w:color w:val="009999"/>
            <w:sz w:val="25"/>
            <w:szCs w:val="23"/>
            <w:lang w:eastAsia="lv-LV"/>
          </w:rPr>
          <w:t>Noteikumu Nr. 1013</w:t>
        </w:r>
      </w:hyperlink>
      <w:r w:rsidRPr="00754F65">
        <w:rPr>
          <w:rFonts w:ascii="Open Sans" w:eastAsia="Times New Roman" w:hAnsi="Open Sans"/>
          <w:color w:val="707070"/>
          <w:sz w:val="25"/>
          <w:szCs w:val="23"/>
          <w:lang w:eastAsia="lv-LV"/>
        </w:rPr>
        <w:t> 30.punkts nosaka, ja ūdens patēriņa sadales aprēķinā trīs mēnešus pēc kārtas veidojas ūdens patēriņa starpība, kas lielāka par 20%, un ir saņemts attiecīgs dzīvokļa īpašnieka iesniegums, pārvaldnieks:</w:t>
      </w:r>
      <w:r w:rsidRPr="00754F65">
        <w:rPr>
          <w:rFonts w:ascii="Open Sans" w:eastAsia="Times New Roman" w:hAnsi="Open Sans"/>
          <w:color w:val="707070"/>
          <w:sz w:val="25"/>
          <w:szCs w:val="23"/>
          <w:lang w:eastAsia="lv-LV"/>
        </w:rPr>
        <w:br/>
        <w:t>1.    </w:t>
      </w:r>
      <w:r w:rsidRPr="00754F65">
        <w:rPr>
          <w:rFonts w:ascii="Open Sans" w:eastAsia="Times New Roman" w:hAnsi="Open Sans"/>
          <w:b/>
          <w:bCs/>
          <w:color w:val="707070"/>
          <w:sz w:val="25"/>
          <w:szCs w:val="23"/>
          <w:lang w:eastAsia="lv-LV"/>
        </w:rPr>
        <w:t>divu mēnešu</w:t>
      </w:r>
      <w:r w:rsidRPr="00754F65">
        <w:rPr>
          <w:rFonts w:ascii="Open Sans" w:eastAsia="Times New Roman" w:hAnsi="Open Sans"/>
          <w:color w:val="707070"/>
          <w:sz w:val="25"/>
          <w:szCs w:val="23"/>
          <w:lang w:eastAsia="lv-LV"/>
        </w:rPr>
        <w:t> (līdz grozījumu stāšanās spēkā brīdim 2013.gada 1.oktobrī – sešu mēnešu termiņš) laikā noskaidro ūdens patēriņa starpības rašanās iemeslus;</w:t>
      </w:r>
      <w:r w:rsidRPr="00754F65">
        <w:rPr>
          <w:rFonts w:ascii="Open Sans" w:eastAsia="Times New Roman" w:hAnsi="Open Sans"/>
          <w:color w:val="707070"/>
          <w:sz w:val="25"/>
          <w:szCs w:val="23"/>
          <w:lang w:eastAsia="lv-LV"/>
        </w:rPr>
        <w:br/>
        <w:t>2.    rakstiski informē dzīvokļu īpašniekus par nepieciešamajiem pasākumiem ūdens patēriņa starpības samazināšanai un kopā ar dzīvokļu īpašniekiem izvērtē iespēju tos īstenot.</w:t>
      </w:r>
    </w:p>
    <w:p w:rsidR="00754F65" w:rsidRPr="00754F65" w:rsidRDefault="00754F65" w:rsidP="00754F65">
      <w:pPr>
        <w:shd w:val="clear" w:color="auto" w:fill="F5F5F5"/>
        <w:spacing w:after="150" w:line="360" w:lineRule="atLeast"/>
        <w:rPr>
          <w:rFonts w:ascii="Open Sans" w:eastAsia="Times New Roman" w:hAnsi="Open Sans"/>
          <w:color w:val="707070"/>
          <w:sz w:val="25"/>
          <w:szCs w:val="23"/>
          <w:lang w:eastAsia="lv-LV"/>
        </w:rPr>
      </w:pPr>
      <w:r w:rsidRPr="00754F65">
        <w:rPr>
          <w:rFonts w:ascii="Open Sans" w:eastAsia="Times New Roman" w:hAnsi="Open Sans"/>
          <w:color w:val="707070"/>
          <w:sz w:val="25"/>
          <w:szCs w:val="23"/>
          <w:lang w:eastAsia="lv-LV"/>
        </w:rPr>
        <w:t>Saskaņā ar </w:t>
      </w:r>
      <w:hyperlink r:id="rId10" w:history="1">
        <w:r w:rsidRPr="00754F65">
          <w:rPr>
            <w:rFonts w:ascii="Open Sans" w:eastAsia="Times New Roman" w:hAnsi="Open Sans"/>
            <w:i/>
            <w:iCs/>
            <w:color w:val="009999"/>
            <w:sz w:val="25"/>
            <w:szCs w:val="23"/>
            <w:lang w:eastAsia="lv-LV"/>
          </w:rPr>
          <w:t>Dzīvokļa īpašuma likuma</w:t>
        </w:r>
      </w:hyperlink>
      <w:r w:rsidRPr="00754F65">
        <w:rPr>
          <w:rFonts w:ascii="Open Sans" w:eastAsia="Times New Roman" w:hAnsi="Open Sans"/>
          <w:color w:val="707070"/>
          <w:sz w:val="25"/>
          <w:szCs w:val="23"/>
          <w:lang w:eastAsia="lv-LV"/>
        </w:rPr>
        <w:t> 16.panta trešo daļu dzīvokļu īpašnieku kopības lēmums ir saistošs ikvienam dzīvokļa īpašniekam. Līdz ar to minētā aprēķinu veikšanas kārtība ir piemērojama līdz brīdim, kamēr dzīvokļu īpašnieki kopsapulcē vienosies par citu saņemto pakalpojumu apmaksas kārtību, t.sk., ūdens patēriņa starpību sadali.</w:t>
      </w:r>
      <w:r w:rsidRPr="00754F65">
        <w:rPr>
          <w:rFonts w:ascii="Open Sans" w:eastAsia="Times New Roman" w:hAnsi="Open Sans"/>
          <w:color w:val="707070"/>
          <w:sz w:val="25"/>
          <w:szCs w:val="23"/>
          <w:lang w:eastAsia="lv-LV"/>
        </w:rPr>
        <w:br/>
      </w:r>
      <w:r w:rsidRPr="00754F65">
        <w:rPr>
          <w:rFonts w:ascii="Open Sans" w:eastAsia="Times New Roman" w:hAnsi="Open Sans"/>
          <w:color w:val="707070"/>
          <w:sz w:val="25"/>
          <w:szCs w:val="23"/>
          <w:lang w:eastAsia="lv-LV"/>
        </w:rPr>
        <w:br/>
        <w:t>2) </w:t>
      </w:r>
      <w:r w:rsidRPr="00754F65">
        <w:rPr>
          <w:rFonts w:ascii="Open Sans" w:eastAsia="Times New Roman" w:hAnsi="Open Sans"/>
          <w:b/>
          <w:bCs/>
          <w:color w:val="707070"/>
          <w:sz w:val="25"/>
          <w:szCs w:val="23"/>
          <w:lang w:eastAsia="lv-LV"/>
        </w:rPr>
        <w:t>Kārtību, kādā dzīvojamās telpas īrnieks patstāvīgi norēķinās ar pakalpojuma sniedzēju par saņemtajiem pakalpojumiem, kas saistīti ar dzīvojamās telpas lietošanu, nosaka Ministru kabineta 2006.gada 12.decembra noteikumi Nr.999</w:t>
      </w:r>
      <w:r w:rsidRPr="00754F65">
        <w:rPr>
          <w:rFonts w:ascii="Open Sans" w:eastAsia="Times New Roman" w:hAnsi="Open Sans"/>
          <w:color w:val="707070"/>
          <w:sz w:val="25"/>
          <w:szCs w:val="23"/>
          <w:lang w:eastAsia="lv-LV"/>
        </w:rPr>
        <w:t> </w:t>
      </w:r>
      <w:hyperlink r:id="rId11" w:history="1">
        <w:r w:rsidRPr="00754F65">
          <w:rPr>
            <w:rFonts w:ascii="Open Sans" w:eastAsia="Times New Roman" w:hAnsi="Open Sans"/>
            <w:i/>
            <w:iCs/>
            <w:color w:val="009999"/>
            <w:sz w:val="25"/>
            <w:szCs w:val="23"/>
            <w:lang w:eastAsia="lv-LV"/>
          </w:rPr>
          <w:t>Kārtība, kādā dzīvojamās telpas īrnieks un izīrētājs norēķinās ar pakalpojumu sniedzēju par pakalpojumiem, kas saistīti ar dzīvojamās telpas lietošanu</w:t>
        </w:r>
      </w:hyperlink>
      <w:r w:rsidRPr="00754F65">
        <w:rPr>
          <w:rFonts w:ascii="Open Sans" w:eastAsia="Times New Roman" w:hAnsi="Open Sans"/>
          <w:color w:val="707070"/>
          <w:sz w:val="25"/>
          <w:szCs w:val="23"/>
          <w:lang w:eastAsia="lv-LV"/>
        </w:rPr>
        <w:t> (turpmāk – Noteikumi Nr. 999 ).</w:t>
      </w:r>
      <w:r w:rsidRPr="00754F65">
        <w:rPr>
          <w:rFonts w:ascii="Open Sans" w:eastAsia="Times New Roman" w:hAnsi="Open Sans"/>
          <w:color w:val="707070"/>
          <w:sz w:val="25"/>
          <w:szCs w:val="23"/>
          <w:lang w:eastAsia="lv-LV"/>
        </w:rPr>
        <w:br/>
      </w:r>
      <w:r w:rsidRPr="00754F65">
        <w:rPr>
          <w:rFonts w:ascii="Open Sans" w:eastAsia="Times New Roman" w:hAnsi="Open Sans"/>
          <w:color w:val="707070"/>
          <w:sz w:val="25"/>
          <w:szCs w:val="23"/>
          <w:lang w:eastAsia="lv-LV"/>
        </w:rPr>
        <w:br/>
        <w:t>Noteikumu Nr.999 14.punktā noteikts, ja veidojas starpība starp mājas kopējā ūdens skaitītāja rādījumu un dzīvojamās mājas telpās un telpu grupās (dzīvokļos, mākslinieka darbnīcās un neapdzīvojamās telpās) ar skaitītājiem noteikto ūdens patēriņu, ieskaitot arī avārijās un remontā nopludināto ūdens daudzumu (turpmāk – ūdens patēriņa starpība), tiek veikts ūdens patēriņa pārrēķins. Īrnieks ūdens patēriņa starpību (ūdens zudumus) sedz šādā kārtībā:</w:t>
      </w:r>
      <w:r w:rsidRPr="00754F65">
        <w:rPr>
          <w:rFonts w:ascii="Open Sans" w:eastAsia="Times New Roman" w:hAnsi="Open Sans"/>
          <w:color w:val="707070"/>
          <w:sz w:val="25"/>
          <w:szCs w:val="23"/>
          <w:lang w:eastAsia="lv-LV"/>
        </w:rPr>
        <w:br/>
        <w:t>1.    dzīvojamā mājā, kas nav sadalīta dzīvokļu īpašumos, – atbilstoši dzīvojamās mājas telpu un telpu grupu (dzīvokļu, mākslinieka darbnīcu un neapdzīvojamo telpu) skaitam;</w:t>
      </w:r>
      <w:r w:rsidRPr="00754F65">
        <w:rPr>
          <w:rFonts w:ascii="Open Sans" w:eastAsia="Times New Roman" w:hAnsi="Open Sans"/>
          <w:color w:val="707070"/>
          <w:sz w:val="25"/>
          <w:szCs w:val="23"/>
          <w:lang w:eastAsia="lv-LV"/>
        </w:rPr>
        <w:br/>
        <w:t>2.    dzīvojamā mājā, kas ir sadalīta dzīvokļu īpašumos, – saskaņā ar dzīvokļu īpašnieku kopības lēmumu vai normatīvajos aktos noteiktajā kārtībā.</w:t>
      </w:r>
      <w:r w:rsidRPr="00754F65">
        <w:rPr>
          <w:rFonts w:ascii="Open Sans" w:eastAsia="Times New Roman" w:hAnsi="Open Sans"/>
          <w:color w:val="707070"/>
          <w:sz w:val="25"/>
          <w:szCs w:val="23"/>
          <w:lang w:eastAsia="lv-LV"/>
        </w:rPr>
        <w:br/>
      </w:r>
      <w:r w:rsidRPr="00754F65">
        <w:rPr>
          <w:rFonts w:ascii="Open Sans" w:eastAsia="Times New Roman" w:hAnsi="Open Sans"/>
          <w:color w:val="707070"/>
          <w:sz w:val="25"/>
          <w:szCs w:val="23"/>
          <w:lang w:eastAsia="lv-LV"/>
        </w:rPr>
        <w:br/>
        <w:t>Saskaņā ar </w:t>
      </w:r>
      <w:hyperlink r:id="rId12" w:history="1">
        <w:r w:rsidRPr="00754F65">
          <w:rPr>
            <w:rFonts w:ascii="Open Sans" w:eastAsia="Times New Roman" w:hAnsi="Open Sans"/>
            <w:i/>
            <w:iCs/>
            <w:color w:val="009999"/>
            <w:sz w:val="25"/>
            <w:szCs w:val="23"/>
            <w:lang w:eastAsia="lv-LV"/>
          </w:rPr>
          <w:t>Noteikumu Nr.999</w:t>
        </w:r>
      </w:hyperlink>
      <w:r w:rsidRPr="00754F65">
        <w:rPr>
          <w:rFonts w:ascii="Open Sans" w:eastAsia="Times New Roman" w:hAnsi="Open Sans"/>
          <w:color w:val="707070"/>
          <w:sz w:val="25"/>
          <w:szCs w:val="23"/>
          <w:lang w:eastAsia="lv-LV"/>
        </w:rPr>
        <w:t> 21.punktu, ja patēriņa sadales aprēķinā starp mājas ievadā uzstādītā skaitītāja rādījumu un dzīvojamās mājas telpās un telpu grupās patērētā ūdens daudzumu (ieskaitot arī avārijās un remontā nopludināto ūdens daudzumu) veidojas starpība, kas lielāka par 20 %, izīrētājs (ja norēķini tiek veikti ar izīrētāja starpniecību):</w:t>
      </w:r>
      <w:r w:rsidRPr="00754F65">
        <w:rPr>
          <w:rFonts w:ascii="Open Sans" w:eastAsia="Times New Roman" w:hAnsi="Open Sans"/>
          <w:color w:val="707070"/>
          <w:sz w:val="25"/>
          <w:szCs w:val="23"/>
          <w:lang w:eastAsia="lv-LV"/>
        </w:rPr>
        <w:br/>
        <w:t>1.    divu mēnešu laikā veic pasākumus stāvokļa izpētei un rakstiski paziņo par to īrniekam;</w:t>
      </w:r>
      <w:r w:rsidRPr="00754F65">
        <w:rPr>
          <w:rFonts w:ascii="Open Sans" w:eastAsia="Times New Roman" w:hAnsi="Open Sans"/>
          <w:color w:val="707070"/>
          <w:sz w:val="25"/>
          <w:szCs w:val="23"/>
          <w:lang w:eastAsia="lv-LV"/>
        </w:rPr>
        <w:br/>
        <w:t xml:space="preserve">2.    nekavējoties, bet ne vēlāk kā divu mēnešu laikā pēc stāvokļa izpētes veic pasākumus </w:t>
      </w:r>
      <w:r w:rsidRPr="00754F65">
        <w:rPr>
          <w:rFonts w:ascii="Open Sans" w:eastAsia="Times New Roman" w:hAnsi="Open Sans"/>
          <w:color w:val="707070"/>
          <w:sz w:val="25"/>
          <w:szCs w:val="23"/>
          <w:lang w:eastAsia="lv-LV"/>
        </w:rPr>
        <w:lastRenderedPageBreak/>
        <w:t>starpības samazināšanai.</w:t>
      </w:r>
      <w:r w:rsidRPr="00754F65">
        <w:rPr>
          <w:rFonts w:ascii="Open Sans" w:eastAsia="Times New Roman" w:hAnsi="Open Sans"/>
          <w:color w:val="707070"/>
          <w:sz w:val="25"/>
          <w:szCs w:val="23"/>
          <w:lang w:eastAsia="lv-LV"/>
        </w:rPr>
        <w:br/>
      </w:r>
      <w:r w:rsidRPr="00754F65">
        <w:rPr>
          <w:rFonts w:ascii="Open Sans" w:eastAsia="Times New Roman" w:hAnsi="Open Sans"/>
          <w:color w:val="707070"/>
          <w:sz w:val="25"/>
          <w:szCs w:val="23"/>
          <w:lang w:eastAsia="lv-LV"/>
        </w:rPr>
        <w:br/>
      </w:r>
      <w:r w:rsidRPr="00754F65">
        <w:rPr>
          <w:rFonts w:ascii="Open Sans" w:eastAsia="Times New Roman" w:hAnsi="Open Sans"/>
          <w:b/>
          <w:bCs/>
          <w:color w:val="707070"/>
          <w:sz w:val="25"/>
          <w:szCs w:val="23"/>
          <w:lang w:eastAsia="lv-LV"/>
        </w:rPr>
        <w:t>Par ūdens patēriņa aprēķinu</w:t>
      </w:r>
      <w:r w:rsidRPr="00754F65">
        <w:rPr>
          <w:rFonts w:ascii="Open Sans" w:eastAsia="Times New Roman" w:hAnsi="Open Sans"/>
          <w:color w:val="707070"/>
          <w:sz w:val="25"/>
          <w:szCs w:val="23"/>
          <w:lang w:eastAsia="lv-LV"/>
        </w:rPr>
        <w:br/>
      </w:r>
      <w:r w:rsidRPr="00754F65">
        <w:rPr>
          <w:rFonts w:ascii="Open Sans" w:eastAsia="Times New Roman" w:hAnsi="Open Sans"/>
          <w:color w:val="707070"/>
          <w:sz w:val="25"/>
          <w:szCs w:val="23"/>
          <w:lang w:eastAsia="lv-LV"/>
        </w:rPr>
        <w:br/>
        <w:t>Kārtība kādā dzīvokļa īpašnieks norēķinās par karstā un aukstā ūdens patēriņu ir noteikta Ministru kabineta 2008.gada 9.decembra noteikumos Nr.1013 </w:t>
      </w:r>
      <w:hyperlink r:id="rId13" w:history="1">
        <w:r w:rsidRPr="00754F65">
          <w:rPr>
            <w:rFonts w:ascii="Open Sans" w:eastAsia="Times New Roman" w:hAnsi="Open Sans"/>
            <w:i/>
            <w:iCs/>
            <w:color w:val="009999"/>
            <w:sz w:val="25"/>
            <w:szCs w:val="23"/>
            <w:lang w:eastAsia="lv-LV"/>
          </w:rPr>
          <w:t>Kārtība, kādā dzīvokļa īpašnieks daudzdzīvokļu dzīvojamā mājā norēķinās par pakalpojumiem, kas saistīti ar dzīvokļa īpašuma lietošanu</w:t>
        </w:r>
      </w:hyperlink>
      <w:r w:rsidRPr="00754F65">
        <w:rPr>
          <w:rFonts w:ascii="Open Sans" w:eastAsia="Times New Roman" w:hAnsi="Open Sans"/>
          <w:color w:val="707070"/>
          <w:sz w:val="25"/>
          <w:szCs w:val="23"/>
          <w:lang w:eastAsia="lv-LV"/>
        </w:rPr>
        <w:t> (turpmāk – Noteikumi  Nr. 1013).</w:t>
      </w:r>
      <w:r w:rsidRPr="00754F65">
        <w:rPr>
          <w:rFonts w:ascii="Open Sans" w:eastAsia="Times New Roman" w:hAnsi="Open Sans"/>
          <w:color w:val="707070"/>
          <w:sz w:val="25"/>
          <w:szCs w:val="23"/>
          <w:lang w:eastAsia="lv-LV"/>
        </w:rPr>
        <w:br/>
      </w:r>
      <w:r w:rsidRPr="00754F65">
        <w:rPr>
          <w:rFonts w:ascii="Open Sans" w:eastAsia="Times New Roman" w:hAnsi="Open Sans"/>
          <w:color w:val="707070"/>
          <w:sz w:val="25"/>
          <w:szCs w:val="23"/>
          <w:lang w:eastAsia="lv-LV"/>
        </w:rPr>
        <w:br/>
      </w:r>
      <w:hyperlink r:id="rId14" w:history="1">
        <w:r w:rsidRPr="00754F65">
          <w:rPr>
            <w:rFonts w:ascii="Open Sans" w:eastAsia="Times New Roman" w:hAnsi="Open Sans"/>
            <w:i/>
            <w:iCs/>
            <w:color w:val="009999"/>
            <w:sz w:val="25"/>
            <w:szCs w:val="23"/>
            <w:lang w:eastAsia="lv-LV"/>
          </w:rPr>
          <w:t>Noteikumu Nr. 1013</w:t>
        </w:r>
        <w:r w:rsidRPr="00754F65">
          <w:rPr>
            <w:rFonts w:ascii="Open Sans" w:eastAsia="Times New Roman" w:hAnsi="Open Sans"/>
            <w:color w:val="009999"/>
            <w:sz w:val="25"/>
            <w:szCs w:val="23"/>
            <w:lang w:eastAsia="lv-LV"/>
          </w:rPr>
          <w:t> </w:t>
        </w:r>
      </w:hyperlink>
      <w:r w:rsidRPr="00754F65">
        <w:rPr>
          <w:rFonts w:ascii="Open Sans" w:eastAsia="Times New Roman" w:hAnsi="Open Sans"/>
          <w:color w:val="707070"/>
          <w:sz w:val="25"/>
          <w:szCs w:val="23"/>
          <w:lang w:eastAsia="lv-LV"/>
        </w:rPr>
        <w:t>19.punktā noteikts, ja veidojas starpība starp mājas kopējā ūdens skaitītāja rādījumu un dzīvokļu īpašumos ar skaitītājiem noteikto ūdens patēriņu, ieskaitot arī avārijās un remontā nopludināto ūdens daudzumu (turpmāk – ūdens patēriņa starpība), tiek veikts ūdens patēriņa pārrēķins. Dzīvokļa īpašnieks ūdens patēriņa starpību sedz atbilstoši </w:t>
      </w:r>
      <w:r w:rsidRPr="00754F65">
        <w:rPr>
          <w:rFonts w:ascii="Open Sans" w:eastAsia="Times New Roman" w:hAnsi="Open Sans"/>
          <w:b/>
          <w:bCs/>
          <w:color w:val="707070"/>
          <w:sz w:val="25"/>
          <w:szCs w:val="23"/>
          <w:lang w:eastAsia="lv-LV"/>
        </w:rPr>
        <w:t>atsevišķo īpašumu skaitam</w:t>
      </w:r>
      <w:r w:rsidRPr="00754F65">
        <w:rPr>
          <w:rFonts w:ascii="Open Sans" w:eastAsia="Times New Roman" w:hAnsi="Open Sans"/>
          <w:color w:val="707070"/>
          <w:sz w:val="25"/>
          <w:szCs w:val="23"/>
          <w:lang w:eastAsia="lv-LV"/>
        </w:rPr>
        <w:t>.</w:t>
      </w:r>
      <w:r w:rsidRPr="00754F65">
        <w:rPr>
          <w:rFonts w:ascii="Open Sans" w:eastAsia="Times New Roman" w:hAnsi="Open Sans"/>
          <w:color w:val="707070"/>
          <w:sz w:val="25"/>
          <w:szCs w:val="23"/>
          <w:lang w:eastAsia="lv-LV"/>
        </w:rPr>
        <w:br/>
      </w:r>
      <w:r w:rsidRPr="00754F65">
        <w:rPr>
          <w:rFonts w:ascii="Open Sans" w:eastAsia="Times New Roman" w:hAnsi="Open Sans"/>
          <w:color w:val="707070"/>
          <w:sz w:val="25"/>
          <w:szCs w:val="23"/>
          <w:lang w:eastAsia="lv-LV"/>
        </w:rPr>
        <w:br/>
        <w:t>No teiktā izriet, ka, </w:t>
      </w:r>
      <w:r w:rsidRPr="00754F65">
        <w:rPr>
          <w:rFonts w:ascii="Open Sans" w:eastAsia="Times New Roman" w:hAnsi="Open Sans"/>
          <w:b/>
          <w:bCs/>
          <w:color w:val="707070"/>
          <w:sz w:val="25"/>
          <w:szCs w:val="23"/>
          <w:lang w:eastAsia="lv-LV"/>
        </w:rPr>
        <w:t>pastāvot ūdens patēriņa starpībai starp centrālo skaitītāju un dzīvokļos uzstādītajiem skaitītājiem, tiek veikts ūdens patēriņa pārrēķins, starpību sadalot atbilstoši atsevišķo īpašumu skaitam</w:t>
      </w:r>
      <w:r w:rsidRPr="00754F65">
        <w:rPr>
          <w:rFonts w:ascii="Open Sans" w:eastAsia="Times New Roman" w:hAnsi="Open Sans"/>
          <w:color w:val="707070"/>
          <w:sz w:val="25"/>
          <w:szCs w:val="23"/>
          <w:lang w:eastAsia="lv-LV"/>
        </w:rPr>
        <w:t> (līdz grozījumu spēkā stāšanās brīdim 2013.gada 30.septembrim starpība tika sadalīta proporcionāli ūdens patēriņam dzīvokļu īpašumos).</w:t>
      </w:r>
      <w:r w:rsidRPr="00754F65">
        <w:rPr>
          <w:rFonts w:ascii="Open Sans" w:eastAsia="Times New Roman" w:hAnsi="Open Sans"/>
          <w:color w:val="707070"/>
          <w:sz w:val="25"/>
          <w:szCs w:val="23"/>
          <w:lang w:eastAsia="lv-LV"/>
        </w:rPr>
        <w:br/>
      </w:r>
      <w:r w:rsidRPr="00754F65">
        <w:rPr>
          <w:rFonts w:ascii="Open Sans" w:eastAsia="Times New Roman" w:hAnsi="Open Sans"/>
          <w:color w:val="707070"/>
          <w:sz w:val="25"/>
          <w:szCs w:val="23"/>
          <w:lang w:eastAsia="lv-LV"/>
        </w:rPr>
        <w:br/>
        <w:t>Saskaņā ar </w:t>
      </w:r>
      <w:hyperlink r:id="rId15" w:history="1">
        <w:r w:rsidRPr="00754F65">
          <w:rPr>
            <w:rFonts w:ascii="Open Sans" w:eastAsia="Times New Roman" w:hAnsi="Open Sans"/>
            <w:i/>
            <w:iCs/>
            <w:color w:val="009999"/>
            <w:sz w:val="25"/>
            <w:szCs w:val="23"/>
            <w:lang w:eastAsia="lv-LV"/>
          </w:rPr>
          <w:t>Dzīvokļa īpašuma likuma</w:t>
        </w:r>
      </w:hyperlink>
      <w:r w:rsidRPr="00754F65">
        <w:rPr>
          <w:rFonts w:ascii="Open Sans" w:eastAsia="Times New Roman" w:hAnsi="Open Sans"/>
          <w:color w:val="707070"/>
          <w:sz w:val="25"/>
          <w:szCs w:val="23"/>
          <w:lang w:eastAsia="lv-LV"/>
        </w:rPr>
        <w:t> 16.panta trešo daļu dzīvokļu īpašnieku kopības lēmums ir saistošs ikvienam dzīvokļa īpašniekam. Līdz ar to minēto aprēķinu veikšanas kārtība ir piemērojama līdz brīdim, kamēr dzīvokļu īpašnieki kopsapulcē vienosies par citu saņemto pakalpojumu apmaksas kārtību, t.sk., ūdens patēriņa starpību sadali.</w:t>
      </w:r>
      <w:r w:rsidRPr="00754F65">
        <w:rPr>
          <w:rFonts w:ascii="Open Sans" w:eastAsia="Times New Roman" w:hAnsi="Open Sans"/>
          <w:color w:val="707070"/>
          <w:sz w:val="25"/>
          <w:szCs w:val="23"/>
          <w:lang w:eastAsia="lv-LV"/>
        </w:rPr>
        <w:br/>
      </w:r>
      <w:r w:rsidRPr="00754F65">
        <w:rPr>
          <w:rFonts w:ascii="Open Sans" w:eastAsia="Times New Roman" w:hAnsi="Open Sans"/>
          <w:color w:val="707070"/>
          <w:sz w:val="25"/>
          <w:szCs w:val="23"/>
          <w:lang w:eastAsia="lv-LV"/>
        </w:rPr>
        <w:br/>
        <w:t>Ja karstā un aukstā ūdens patēriņa aprēķinā tiek izmantoti skaitītāji un tiem savlaicīgi ir veikta skaitītāju metroloģiskā pārbaude (verifikācija), un attiecīgi dzīvokļa īpašnieks ir nodevis ūdens skaitītāju rādījumus apsaimniekotājam,</w:t>
      </w:r>
      <w:r w:rsidRPr="00754F65">
        <w:rPr>
          <w:rFonts w:ascii="Open Sans" w:eastAsia="Times New Roman" w:hAnsi="Open Sans"/>
          <w:b/>
          <w:bCs/>
          <w:color w:val="707070"/>
          <w:sz w:val="25"/>
          <w:szCs w:val="23"/>
          <w:lang w:eastAsia="lv-LV"/>
        </w:rPr>
        <w:t> aprēķins tiek veikts atbilstoši skaitītāja rādījumiem</w:t>
      </w:r>
      <w:r w:rsidRPr="00754F65">
        <w:rPr>
          <w:rFonts w:ascii="Open Sans" w:eastAsia="Times New Roman" w:hAnsi="Open Sans"/>
          <w:color w:val="707070"/>
          <w:sz w:val="25"/>
          <w:szCs w:val="23"/>
          <w:lang w:eastAsia="lv-LV"/>
        </w:rPr>
        <w:t>, ņemot vērā arī ūdens zudumus, kas tiek aprēķināti proporcionāli uz visiem dzīvokļu īpašniekiem.</w:t>
      </w:r>
    </w:p>
    <w:p w:rsidR="00754F65" w:rsidRPr="00754F65" w:rsidRDefault="00754F65" w:rsidP="00754F65">
      <w:pPr>
        <w:shd w:val="clear" w:color="auto" w:fill="F5F5F5"/>
        <w:spacing w:after="150" w:line="360" w:lineRule="atLeast"/>
        <w:rPr>
          <w:rFonts w:ascii="Open Sans" w:eastAsia="Times New Roman" w:hAnsi="Open Sans"/>
          <w:color w:val="707070"/>
          <w:sz w:val="25"/>
          <w:szCs w:val="23"/>
          <w:lang w:eastAsia="lv-LV"/>
        </w:rPr>
      </w:pPr>
      <w:r w:rsidRPr="00754F65">
        <w:rPr>
          <w:rFonts w:ascii="Open Sans" w:eastAsia="Times New Roman" w:hAnsi="Open Sans"/>
          <w:color w:val="707070"/>
          <w:sz w:val="25"/>
          <w:szCs w:val="23"/>
          <w:lang w:eastAsia="lv-LV"/>
        </w:rPr>
        <w:t>Saskaņā ar </w:t>
      </w:r>
      <w:hyperlink r:id="rId16" w:history="1">
        <w:r w:rsidRPr="00754F65">
          <w:rPr>
            <w:rFonts w:ascii="Open Sans" w:eastAsia="Times New Roman" w:hAnsi="Open Sans"/>
            <w:i/>
            <w:iCs/>
            <w:color w:val="009999"/>
            <w:sz w:val="25"/>
            <w:szCs w:val="23"/>
            <w:lang w:eastAsia="lv-LV"/>
          </w:rPr>
          <w:t>Noteikumu Nr. 1013</w:t>
        </w:r>
      </w:hyperlink>
      <w:r w:rsidRPr="00754F65">
        <w:rPr>
          <w:rFonts w:ascii="Open Sans" w:eastAsia="Times New Roman" w:hAnsi="Open Sans"/>
          <w:color w:val="707070"/>
          <w:sz w:val="25"/>
          <w:szCs w:val="23"/>
          <w:lang w:eastAsia="lv-LV"/>
        </w:rPr>
        <w:t> 19.1punktu, kas nosaka, ka šo noteikumu 19.punktā minēto ūdens patēriņa starpības sadales kārtību nepiemēro, bet ūdens patēriņa starpību sadala atbilstoši atsevišķo īpašumu skaitam starp šādiem dzīvokļu īpašniekiem (ja tādi ir dzīvojamā mājā):</w:t>
      </w:r>
    </w:p>
    <w:p w:rsidR="00754F65" w:rsidRPr="00754F65" w:rsidRDefault="00754F65" w:rsidP="00754F65">
      <w:pPr>
        <w:numPr>
          <w:ilvl w:val="0"/>
          <w:numId w:val="2"/>
        </w:numPr>
        <w:shd w:val="clear" w:color="auto" w:fill="F5F5F5"/>
        <w:spacing w:before="100" w:beforeAutospacing="1" w:after="100" w:afterAutospacing="1" w:line="360" w:lineRule="atLeast"/>
        <w:ind w:left="0" w:firstLine="0"/>
        <w:rPr>
          <w:rFonts w:ascii="Open Sans" w:eastAsia="Times New Roman" w:hAnsi="Open Sans"/>
          <w:color w:val="707070"/>
          <w:sz w:val="25"/>
          <w:szCs w:val="23"/>
          <w:lang w:eastAsia="lv-LV"/>
        </w:rPr>
      </w:pPr>
      <w:r w:rsidRPr="00754F65">
        <w:rPr>
          <w:rFonts w:ascii="Open Sans" w:eastAsia="Times New Roman" w:hAnsi="Open Sans"/>
          <w:color w:val="707070"/>
          <w:sz w:val="25"/>
          <w:szCs w:val="23"/>
          <w:lang w:eastAsia="lv-LV"/>
        </w:rPr>
        <w:t>kuri nav iesnieguši informāciju par ūdens skaitītāja rādījumu vismaz trīs mēnešus pēc kārtas;</w:t>
      </w:r>
    </w:p>
    <w:p w:rsidR="00754F65" w:rsidRPr="00754F65" w:rsidRDefault="00754F65" w:rsidP="00754F65">
      <w:pPr>
        <w:numPr>
          <w:ilvl w:val="0"/>
          <w:numId w:val="2"/>
        </w:numPr>
        <w:shd w:val="clear" w:color="auto" w:fill="F5F5F5"/>
        <w:spacing w:before="100" w:beforeAutospacing="1" w:after="100" w:afterAutospacing="1" w:line="360" w:lineRule="atLeast"/>
        <w:ind w:left="0" w:firstLine="0"/>
        <w:rPr>
          <w:rFonts w:ascii="Open Sans" w:eastAsia="Times New Roman" w:hAnsi="Open Sans"/>
          <w:color w:val="707070"/>
          <w:sz w:val="25"/>
          <w:szCs w:val="23"/>
          <w:lang w:eastAsia="lv-LV"/>
        </w:rPr>
      </w:pPr>
      <w:r w:rsidRPr="00754F65">
        <w:rPr>
          <w:rFonts w:ascii="Open Sans" w:eastAsia="Times New Roman" w:hAnsi="Open Sans"/>
          <w:color w:val="707070"/>
          <w:sz w:val="25"/>
          <w:szCs w:val="23"/>
          <w:lang w:eastAsia="lv-LV"/>
        </w:rPr>
        <w:t>kuru atsevišķajos īpašumos ūdens patēriņa skaitītāji nav uzstādīti;</w:t>
      </w:r>
    </w:p>
    <w:p w:rsidR="00754F65" w:rsidRPr="00754F65" w:rsidRDefault="00754F65" w:rsidP="00754F65">
      <w:pPr>
        <w:numPr>
          <w:ilvl w:val="0"/>
          <w:numId w:val="2"/>
        </w:numPr>
        <w:shd w:val="clear" w:color="auto" w:fill="F5F5F5"/>
        <w:spacing w:before="100" w:beforeAutospacing="1" w:after="100" w:afterAutospacing="1" w:line="360" w:lineRule="atLeast"/>
        <w:ind w:left="0" w:firstLine="0"/>
        <w:rPr>
          <w:rFonts w:ascii="Open Sans" w:eastAsia="Times New Roman" w:hAnsi="Open Sans"/>
          <w:color w:val="707070"/>
          <w:sz w:val="25"/>
          <w:szCs w:val="23"/>
          <w:lang w:eastAsia="lv-LV"/>
        </w:rPr>
      </w:pPr>
      <w:r w:rsidRPr="00754F65">
        <w:rPr>
          <w:rFonts w:ascii="Open Sans" w:eastAsia="Times New Roman" w:hAnsi="Open Sans"/>
          <w:color w:val="707070"/>
          <w:sz w:val="25"/>
          <w:szCs w:val="23"/>
          <w:lang w:eastAsia="lv-LV"/>
        </w:rPr>
        <w:t>kuri atkārtoti nav ļāvuši pārvaldniekam veikt savā dzīvokļa īpašumā esošo ūdens patēriņa skaitītāju pārbaudi, ja pārvaldnieks par šādas pārbaudes veikšanu rakstiski paziņojis vismaz nedēļu iepriekš, nosūtot paziņojumu uz dzīvokļa īpašumu, kurā plānota skaitītāju pārbaude;</w:t>
      </w:r>
    </w:p>
    <w:p w:rsidR="00754F65" w:rsidRPr="00754F65" w:rsidRDefault="00754F65" w:rsidP="00754F65">
      <w:pPr>
        <w:numPr>
          <w:ilvl w:val="0"/>
          <w:numId w:val="2"/>
        </w:numPr>
        <w:shd w:val="clear" w:color="auto" w:fill="F5F5F5"/>
        <w:spacing w:before="100" w:beforeAutospacing="1" w:after="100" w:afterAutospacing="1" w:line="360" w:lineRule="atLeast"/>
        <w:ind w:left="0" w:firstLine="0"/>
        <w:rPr>
          <w:rFonts w:ascii="Open Sans" w:eastAsia="Times New Roman" w:hAnsi="Open Sans"/>
          <w:color w:val="707070"/>
          <w:sz w:val="25"/>
          <w:szCs w:val="23"/>
          <w:lang w:eastAsia="lv-LV"/>
        </w:rPr>
      </w:pPr>
      <w:r w:rsidRPr="00754F65">
        <w:rPr>
          <w:rFonts w:ascii="Open Sans" w:eastAsia="Times New Roman" w:hAnsi="Open Sans"/>
          <w:color w:val="707070"/>
          <w:sz w:val="25"/>
          <w:szCs w:val="23"/>
          <w:lang w:eastAsia="lv-LV"/>
        </w:rPr>
        <w:lastRenderedPageBreak/>
        <w:t xml:space="preserve">kuru dzīvokļa īpašumā esošo ūdens patēriņa skaitītāju pārbaudē konstatēts, ka ūdens </w:t>
      </w:r>
      <w:bookmarkStart w:id="0" w:name="_GoBack"/>
      <w:bookmarkEnd w:id="0"/>
      <w:r w:rsidRPr="00754F65">
        <w:rPr>
          <w:rFonts w:ascii="Open Sans" w:eastAsia="Times New Roman" w:hAnsi="Open Sans"/>
          <w:color w:val="707070"/>
          <w:sz w:val="25"/>
          <w:szCs w:val="23"/>
          <w:lang w:eastAsia="lv-LV"/>
        </w:rPr>
        <w:t>patēriņa skaitītāji ir bojāti, tie nav noplombēti, to plombējums ir bojāts vai tie nav verificēti triju mēnešu laikā pēc verificēšanas termiņa beigām.</w:t>
      </w:r>
    </w:p>
    <w:p w:rsidR="00754F65" w:rsidRPr="00754F65" w:rsidRDefault="00754F65" w:rsidP="00754F65">
      <w:pPr>
        <w:shd w:val="clear" w:color="auto" w:fill="F5F5F5"/>
        <w:spacing w:after="150" w:line="360" w:lineRule="atLeast"/>
        <w:rPr>
          <w:rFonts w:ascii="Open Sans" w:eastAsia="Times New Roman" w:hAnsi="Open Sans"/>
          <w:color w:val="707070"/>
          <w:sz w:val="25"/>
          <w:szCs w:val="23"/>
          <w:lang w:eastAsia="lv-LV"/>
        </w:rPr>
      </w:pPr>
      <w:r w:rsidRPr="00754F65">
        <w:rPr>
          <w:rFonts w:ascii="Open Sans" w:eastAsia="Times New Roman" w:hAnsi="Open Sans"/>
          <w:color w:val="707070"/>
          <w:sz w:val="25"/>
          <w:szCs w:val="23"/>
          <w:lang w:eastAsia="lv-LV"/>
        </w:rPr>
        <w:t>Saskaņā ar </w:t>
      </w:r>
      <w:hyperlink r:id="rId17" w:history="1">
        <w:r w:rsidRPr="00754F65">
          <w:rPr>
            <w:rFonts w:ascii="Open Sans" w:eastAsia="Times New Roman" w:hAnsi="Open Sans"/>
            <w:i/>
            <w:iCs/>
            <w:color w:val="009999"/>
            <w:sz w:val="25"/>
            <w:szCs w:val="23"/>
            <w:lang w:eastAsia="lv-LV"/>
          </w:rPr>
          <w:t>Noteikumu Nr. 1013</w:t>
        </w:r>
      </w:hyperlink>
      <w:r w:rsidRPr="00754F65">
        <w:rPr>
          <w:rFonts w:ascii="Open Sans" w:eastAsia="Times New Roman" w:hAnsi="Open Sans"/>
          <w:i/>
          <w:iCs/>
          <w:color w:val="707070"/>
          <w:sz w:val="25"/>
          <w:szCs w:val="23"/>
          <w:lang w:eastAsia="lv-LV"/>
        </w:rPr>
        <w:t> </w:t>
      </w:r>
      <w:r w:rsidRPr="00754F65">
        <w:rPr>
          <w:rFonts w:ascii="Open Sans" w:eastAsia="Times New Roman" w:hAnsi="Open Sans"/>
          <w:color w:val="707070"/>
          <w:sz w:val="25"/>
          <w:szCs w:val="23"/>
          <w:lang w:eastAsia="lv-LV"/>
        </w:rPr>
        <w:t>27.punktu dzīvokļa īpašnieks </w:t>
      </w:r>
      <w:r w:rsidRPr="00754F65">
        <w:rPr>
          <w:rFonts w:ascii="Open Sans" w:eastAsia="Times New Roman" w:hAnsi="Open Sans"/>
          <w:b/>
          <w:bCs/>
          <w:color w:val="707070"/>
          <w:sz w:val="25"/>
          <w:szCs w:val="23"/>
          <w:lang w:eastAsia="lv-LV"/>
        </w:rPr>
        <w:t>pārvaldnieka noteiktajā kārtībā</w:t>
      </w:r>
      <w:r w:rsidRPr="00754F65">
        <w:rPr>
          <w:rFonts w:ascii="Open Sans" w:eastAsia="Times New Roman" w:hAnsi="Open Sans"/>
          <w:color w:val="707070"/>
          <w:sz w:val="25"/>
          <w:szCs w:val="23"/>
          <w:lang w:eastAsia="lv-LV"/>
        </w:rPr>
        <w:t> </w:t>
      </w:r>
      <w:r w:rsidRPr="00754F65">
        <w:rPr>
          <w:rFonts w:ascii="Open Sans" w:eastAsia="Times New Roman" w:hAnsi="Open Sans"/>
          <w:b/>
          <w:bCs/>
          <w:color w:val="707070"/>
          <w:sz w:val="25"/>
          <w:szCs w:val="23"/>
          <w:lang w:eastAsia="lv-LV"/>
        </w:rPr>
        <w:t>un termiņā</w:t>
      </w:r>
      <w:r w:rsidRPr="00754F65">
        <w:rPr>
          <w:rFonts w:ascii="Open Sans" w:eastAsia="Times New Roman" w:hAnsi="Open Sans"/>
          <w:color w:val="707070"/>
          <w:sz w:val="25"/>
          <w:szCs w:val="23"/>
          <w:lang w:eastAsia="lv-LV"/>
        </w:rPr>
        <w:t> katru mēnesi nolasa ūdens skaitītāja rādījumu un nodod tos pārvaldniekam aprēķinu veikšanai. Savukārt 28.punktā noteikts, ja prombūtnes dēļ dzīvokli neizmanto neviena persona un dzīvokļa īpašnieks nevar iesniegt informāciju par ūdens skaitītāja rādījumu, dzīvokļa īpašnieks par to iepriekš informē pārvaldnieku.</w:t>
      </w:r>
    </w:p>
    <w:p w:rsidR="00754F65" w:rsidRPr="00754F65" w:rsidRDefault="00754F65" w:rsidP="00754F65">
      <w:pPr>
        <w:shd w:val="clear" w:color="auto" w:fill="F5F5F5"/>
        <w:spacing w:after="150" w:line="360" w:lineRule="atLeast"/>
        <w:rPr>
          <w:rFonts w:ascii="Open Sans" w:eastAsia="Times New Roman" w:hAnsi="Open Sans"/>
          <w:color w:val="707070"/>
          <w:sz w:val="23"/>
          <w:szCs w:val="23"/>
          <w:lang w:eastAsia="lv-LV"/>
        </w:rPr>
      </w:pPr>
      <w:hyperlink r:id="rId18" w:history="1">
        <w:r w:rsidRPr="00754F65">
          <w:rPr>
            <w:rFonts w:ascii="Open Sans" w:eastAsia="Times New Roman" w:hAnsi="Open Sans"/>
            <w:color w:val="009999"/>
            <w:sz w:val="25"/>
            <w:szCs w:val="23"/>
            <w:lang w:eastAsia="lv-LV"/>
          </w:rPr>
          <w:t>Noteikumu Nr. 1013</w:t>
        </w:r>
      </w:hyperlink>
      <w:r w:rsidRPr="00754F65">
        <w:rPr>
          <w:rFonts w:ascii="Open Sans" w:eastAsia="Times New Roman" w:hAnsi="Open Sans"/>
          <w:color w:val="707070"/>
          <w:sz w:val="25"/>
          <w:szCs w:val="23"/>
          <w:lang w:eastAsia="lv-LV"/>
        </w:rPr>
        <w:t> 29.punktā noteikts, ja dzīvokļa īpašnieks nav iesniedzis informāciju par ūdens skaitītāja rādījumu vai šo noteikumu 28.punktā minētajā kārtībā nav informējis par prombūtni, pārvaldnieks aprēķina ūdens patēriņu atsevišķajam īpašumam, ņemot vērā konkrētā atsevišķā īpašuma vidējo ūdens patēriņu par pēdējiem trim mēnešiem, bet</w:t>
      </w:r>
      <w:r w:rsidRPr="00754F65">
        <w:rPr>
          <w:rFonts w:ascii="Open Sans" w:eastAsia="Times New Roman" w:hAnsi="Open Sans"/>
          <w:b/>
          <w:bCs/>
          <w:color w:val="707070"/>
          <w:sz w:val="25"/>
          <w:szCs w:val="23"/>
          <w:lang w:eastAsia="lv-LV"/>
        </w:rPr>
        <w:t>ne ilgāk kā trīs mēnešus pēc kārtas</w:t>
      </w:r>
      <w:r w:rsidRPr="00754F65">
        <w:rPr>
          <w:rFonts w:ascii="Open Sans" w:eastAsia="Times New Roman" w:hAnsi="Open Sans"/>
          <w:color w:val="707070"/>
          <w:sz w:val="25"/>
          <w:szCs w:val="23"/>
          <w:lang w:eastAsia="lv-LV"/>
        </w:rPr>
        <w:t>.</w:t>
      </w:r>
      <w:r w:rsidRPr="00754F65">
        <w:rPr>
          <w:rFonts w:ascii="Open Sans" w:eastAsia="Times New Roman" w:hAnsi="Open Sans"/>
          <w:color w:val="707070"/>
          <w:sz w:val="25"/>
          <w:szCs w:val="23"/>
          <w:lang w:eastAsia="lv-LV"/>
        </w:rPr>
        <w:br/>
      </w:r>
      <w:r w:rsidRPr="00754F65">
        <w:rPr>
          <w:rFonts w:ascii="Open Sans" w:eastAsia="Times New Roman" w:hAnsi="Open Sans"/>
          <w:color w:val="707070"/>
          <w:sz w:val="25"/>
          <w:szCs w:val="23"/>
          <w:lang w:eastAsia="lv-LV"/>
        </w:rPr>
        <w:br/>
      </w:r>
      <w:r w:rsidRPr="00754F65">
        <w:rPr>
          <w:rFonts w:ascii="Open Sans" w:eastAsia="Times New Roman" w:hAnsi="Open Sans"/>
          <w:noProof/>
          <w:color w:val="707070"/>
          <w:sz w:val="23"/>
          <w:szCs w:val="23"/>
          <w:lang w:eastAsia="lv-LV"/>
        </w:rPr>
        <w:drawing>
          <wp:inline distT="0" distB="0" distL="0" distR="0">
            <wp:extent cx="6315075" cy="4991100"/>
            <wp:effectExtent l="0" t="0" r="9525" b="0"/>
            <wp:docPr id="1" name="Picture 1" descr="http://www.ptac.gov.lv/sites/default/files/pictures/udens_zudumi_shema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tac.gov.lv/sites/default/files/pictures/udens_zudumi_shema_201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15075" cy="4991100"/>
                    </a:xfrm>
                    <a:prstGeom prst="rect">
                      <a:avLst/>
                    </a:prstGeom>
                    <a:noFill/>
                    <a:ln>
                      <a:noFill/>
                    </a:ln>
                  </pic:spPr>
                </pic:pic>
              </a:graphicData>
            </a:graphic>
          </wp:inline>
        </w:drawing>
      </w:r>
    </w:p>
    <w:p w:rsidR="0008472F" w:rsidRDefault="0008472F" w:rsidP="00754F65"/>
    <w:sectPr w:rsidR="0008472F" w:rsidSect="00754F65">
      <w:pgSz w:w="11906" w:h="16838"/>
      <w:pgMar w:top="851"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15B3"/>
    <w:multiLevelType w:val="multilevel"/>
    <w:tmpl w:val="3074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FD2A64"/>
    <w:multiLevelType w:val="multilevel"/>
    <w:tmpl w:val="0E5A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65"/>
    <w:rsid w:val="0008472F"/>
    <w:rsid w:val="00754F65"/>
    <w:rsid w:val="00EA5D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9BBB3-0B25-45EF-B8E7-D673F97C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DE3"/>
    <w:pPr>
      <w:spacing w:after="160" w:line="259" w:lineRule="auto"/>
    </w:pPr>
    <w:rPr>
      <w:sz w:val="28"/>
      <w:szCs w:val="28"/>
    </w:rPr>
  </w:style>
  <w:style w:type="paragraph" w:styleId="Heading1">
    <w:name w:val="heading 1"/>
    <w:basedOn w:val="Normal"/>
    <w:next w:val="Normal"/>
    <w:link w:val="Heading1Char"/>
    <w:uiPriority w:val="9"/>
    <w:qFormat/>
    <w:rsid w:val="00EA5DE3"/>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qFormat/>
    <w:rsid w:val="00EA5DE3"/>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zatstarpm">
    <w:name w:val="Bez atstarpēm"/>
    <w:uiPriority w:val="1"/>
    <w:qFormat/>
    <w:locked/>
    <w:rsid w:val="00EA5DE3"/>
    <w:rPr>
      <w:sz w:val="22"/>
      <w:szCs w:val="22"/>
    </w:rPr>
  </w:style>
  <w:style w:type="character" w:customStyle="1" w:styleId="Intensvsizclums">
    <w:name w:val="Intensīvs izcēlums"/>
    <w:uiPriority w:val="21"/>
    <w:qFormat/>
    <w:locked/>
    <w:rsid w:val="00EA5DE3"/>
    <w:rPr>
      <w:i/>
      <w:iCs/>
      <w:color w:val="5B9BD5"/>
    </w:rPr>
  </w:style>
  <w:style w:type="character" w:customStyle="1" w:styleId="Izsmalcintsizclums">
    <w:name w:val="Izsmalcināts izcēlums"/>
    <w:uiPriority w:val="19"/>
    <w:qFormat/>
    <w:locked/>
    <w:rsid w:val="00EA5DE3"/>
    <w:rPr>
      <w:i/>
      <w:iCs/>
      <w:color w:val="404040"/>
    </w:rPr>
  </w:style>
  <w:style w:type="paragraph" w:customStyle="1" w:styleId="Citts">
    <w:name w:val="Citāts"/>
    <w:basedOn w:val="Normal"/>
    <w:next w:val="Normal"/>
    <w:link w:val="CittsRakstz"/>
    <w:uiPriority w:val="29"/>
    <w:qFormat/>
    <w:locked/>
    <w:rsid w:val="00EA5DE3"/>
    <w:pPr>
      <w:spacing w:before="200"/>
      <w:ind w:left="864" w:right="864"/>
      <w:jc w:val="center"/>
    </w:pPr>
    <w:rPr>
      <w:i/>
      <w:iCs/>
      <w:color w:val="404040"/>
      <w:sz w:val="32"/>
      <w:szCs w:val="32"/>
    </w:rPr>
  </w:style>
  <w:style w:type="character" w:customStyle="1" w:styleId="CittsRakstz">
    <w:name w:val="Citāts Rakstz."/>
    <w:link w:val="Citts"/>
    <w:uiPriority w:val="29"/>
    <w:rsid w:val="00EA5DE3"/>
    <w:rPr>
      <w:i/>
      <w:iCs/>
      <w:color w:val="404040"/>
      <w:sz w:val="32"/>
      <w:szCs w:val="32"/>
    </w:rPr>
  </w:style>
  <w:style w:type="character" w:customStyle="1" w:styleId="Heading1Char">
    <w:name w:val="Heading 1 Char"/>
    <w:link w:val="Heading1"/>
    <w:uiPriority w:val="9"/>
    <w:rsid w:val="00EA5DE3"/>
    <w:rPr>
      <w:rFonts w:ascii="Calibri Light" w:eastAsia="Times New Roman" w:hAnsi="Calibri Light"/>
      <w:color w:val="2E74B5"/>
      <w:sz w:val="32"/>
      <w:szCs w:val="32"/>
    </w:rPr>
  </w:style>
  <w:style w:type="character" w:customStyle="1" w:styleId="Heading2Char">
    <w:name w:val="Heading 2 Char"/>
    <w:link w:val="Heading2"/>
    <w:uiPriority w:val="9"/>
    <w:rsid w:val="00EA5DE3"/>
    <w:rPr>
      <w:rFonts w:ascii="Calibri Light" w:eastAsia="Times New Roman" w:hAnsi="Calibri Light"/>
      <w:color w:val="2E74B5"/>
      <w:sz w:val="26"/>
      <w:szCs w:val="26"/>
    </w:rPr>
  </w:style>
  <w:style w:type="paragraph" w:styleId="Title">
    <w:name w:val="Title"/>
    <w:basedOn w:val="Normal"/>
    <w:next w:val="Normal"/>
    <w:link w:val="TitleChar"/>
    <w:uiPriority w:val="10"/>
    <w:qFormat/>
    <w:rsid w:val="00EA5DE3"/>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A5DE3"/>
    <w:rPr>
      <w:rFonts w:ascii="Calibri Light" w:eastAsia="Times New Roman" w:hAnsi="Calibri Light"/>
      <w:spacing w:val="-10"/>
      <w:kern w:val="28"/>
      <w:sz w:val="56"/>
      <w:szCs w:val="56"/>
    </w:rPr>
  </w:style>
  <w:style w:type="paragraph" w:styleId="Subtitle">
    <w:name w:val="Subtitle"/>
    <w:basedOn w:val="Normal"/>
    <w:next w:val="Normal"/>
    <w:link w:val="SubtitleChar"/>
    <w:uiPriority w:val="11"/>
    <w:qFormat/>
    <w:rsid w:val="00EA5DE3"/>
    <w:pPr>
      <w:numPr>
        <w:ilvl w:val="1"/>
      </w:numPr>
    </w:pPr>
    <w:rPr>
      <w:rFonts w:eastAsia="Times New Roman"/>
      <w:color w:val="5A5A5A"/>
      <w:spacing w:val="15"/>
      <w:sz w:val="20"/>
      <w:szCs w:val="20"/>
    </w:rPr>
  </w:style>
  <w:style w:type="character" w:customStyle="1" w:styleId="SubtitleChar">
    <w:name w:val="Subtitle Char"/>
    <w:link w:val="Subtitle"/>
    <w:uiPriority w:val="11"/>
    <w:rsid w:val="00EA5DE3"/>
    <w:rPr>
      <w:rFonts w:eastAsia="Times New Roman"/>
      <w:color w:val="5A5A5A"/>
      <w:spacing w:val="15"/>
    </w:rPr>
  </w:style>
  <w:style w:type="character" w:styleId="Strong">
    <w:name w:val="Strong"/>
    <w:uiPriority w:val="22"/>
    <w:qFormat/>
    <w:rsid w:val="00EA5DE3"/>
    <w:rPr>
      <w:b/>
      <w:bCs/>
    </w:rPr>
  </w:style>
  <w:style w:type="character" w:styleId="Emphasis">
    <w:name w:val="Emphasis"/>
    <w:uiPriority w:val="20"/>
    <w:qFormat/>
    <w:rsid w:val="00EA5DE3"/>
    <w:rPr>
      <w:i/>
      <w:iCs/>
    </w:rPr>
  </w:style>
  <w:style w:type="paragraph" w:styleId="NormalWeb">
    <w:name w:val="Normal (Web)"/>
    <w:basedOn w:val="Normal"/>
    <w:uiPriority w:val="99"/>
    <w:semiHidden/>
    <w:unhideWhenUsed/>
    <w:rsid w:val="00754F6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754F65"/>
  </w:style>
  <w:style w:type="character" w:styleId="Hyperlink">
    <w:name w:val="Hyperlink"/>
    <w:basedOn w:val="DefaultParagraphFont"/>
    <w:uiPriority w:val="99"/>
    <w:unhideWhenUsed/>
    <w:rsid w:val="00754F65"/>
    <w:rPr>
      <w:color w:val="0000FF"/>
      <w:u w:val="single"/>
    </w:rPr>
  </w:style>
  <w:style w:type="paragraph" w:styleId="BalloonText">
    <w:name w:val="Balloon Text"/>
    <w:basedOn w:val="Normal"/>
    <w:link w:val="BalloonTextChar"/>
    <w:uiPriority w:val="99"/>
    <w:semiHidden/>
    <w:unhideWhenUsed/>
    <w:rsid w:val="00754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164391">
      <w:bodyDiv w:val="1"/>
      <w:marLeft w:val="0"/>
      <w:marRight w:val="0"/>
      <w:marTop w:val="0"/>
      <w:marBottom w:val="0"/>
      <w:divBdr>
        <w:top w:val="none" w:sz="0" w:space="0" w:color="auto"/>
        <w:left w:val="none" w:sz="0" w:space="0" w:color="auto"/>
        <w:bottom w:val="none" w:sz="0" w:space="0" w:color="auto"/>
        <w:right w:val="none" w:sz="0" w:space="0" w:color="auto"/>
      </w:divBdr>
      <w:divsChild>
        <w:div w:id="1913931307">
          <w:marLeft w:val="0"/>
          <w:marRight w:val="0"/>
          <w:marTop w:val="0"/>
          <w:marBottom w:val="0"/>
          <w:divBdr>
            <w:top w:val="none" w:sz="0" w:space="0" w:color="auto"/>
            <w:left w:val="none" w:sz="0" w:space="0" w:color="auto"/>
            <w:bottom w:val="none" w:sz="0" w:space="0" w:color="auto"/>
            <w:right w:val="none" w:sz="0" w:space="0" w:color="auto"/>
          </w:divBdr>
          <w:divsChild>
            <w:div w:id="912395014">
              <w:marLeft w:val="0"/>
              <w:marRight w:val="0"/>
              <w:marTop w:val="0"/>
              <w:marBottom w:val="0"/>
              <w:divBdr>
                <w:top w:val="none" w:sz="0" w:space="0" w:color="auto"/>
                <w:left w:val="none" w:sz="0" w:space="0" w:color="auto"/>
                <w:bottom w:val="none" w:sz="0" w:space="0" w:color="auto"/>
                <w:right w:val="none" w:sz="0" w:space="0" w:color="auto"/>
              </w:divBdr>
              <w:divsChild>
                <w:div w:id="450317899">
                  <w:marLeft w:val="0"/>
                  <w:marRight w:val="0"/>
                  <w:marTop w:val="0"/>
                  <w:marBottom w:val="0"/>
                  <w:divBdr>
                    <w:top w:val="none" w:sz="0" w:space="0" w:color="auto"/>
                    <w:left w:val="none" w:sz="0" w:space="0" w:color="auto"/>
                    <w:bottom w:val="none" w:sz="0" w:space="0" w:color="auto"/>
                    <w:right w:val="none" w:sz="0" w:space="0" w:color="auto"/>
                  </w:divBdr>
                  <w:divsChild>
                    <w:div w:id="687367492">
                      <w:marLeft w:val="0"/>
                      <w:marRight w:val="0"/>
                      <w:marTop w:val="0"/>
                      <w:marBottom w:val="0"/>
                      <w:divBdr>
                        <w:top w:val="none" w:sz="0" w:space="0" w:color="auto"/>
                        <w:left w:val="none" w:sz="0" w:space="0" w:color="auto"/>
                        <w:bottom w:val="none" w:sz="0" w:space="0" w:color="auto"/>
                        <w:right w:val="none" w:sz="0" w:space="0" w:color="auto"/>
                      </w:divBdr>
                      <w:divsChild>
                        <w:div w:id="483474904">
                          <w:marLeft w:val="0"/>
                          <w:marRight w:val="0"/>
                          <w:marTop w:val="0"/>
                          <w:marBottom w:val="0"/>
                          <w:divBdr>
                            <w:top w:val="none" w:sz="0" w:space="0" w:color="auto"/>
                            <w:left w:val="none" w:sz="0" w:space="0" w:color="auto"/>
                            <w:bottom w:val="none" w:sz="0" w:space="0" w:color="auto"/>
                            <w:right w:val="none" w:sz="0" w:space="0" w:color="auto"/>
                          </w:divBdr>
                          <w:divsChild>
                            <w:div w:id="9816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185342" TargetMode="External"/><Relationship Id="rId13" Type="http://schemas.openxmlformats.org/officeDocument/2006/relationships/hyperlink" Target="http://likumi.lv/doc.php?id=185342" TargetMode="External"/><Relationship Id="rId18" Type="http://schemas.openxmlformats.org/officeDocument/2006/relationships/hyperlink" Target="http://likumi.lv/doc.php?id=18534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likumi.lv/doc.php?id=185342" TargetMode="External"/><Relationship Id="rId12" Type="http://schemas.openxmlformats.org/officeDocument/2006/relationships/hyperlink" Target="http://likumi.lv/doc.php?id=149906" TargetMode="External"/><Relationship Id="rId17" Type="http://schemas.openxmlformats.org/officeDocument/2006/relationships/hyperlink" Target="http://likumi.lv/doc.php?id=185342" TargetMode="External"/><Relationship Id="rId2" Type="http://schemas.openxmlformats.org/officeDocument/2006/relationships/styles" Target="styles.xml"/><Relationship Id="rId16" Type="http://schemas.openxmlformats.org/officeDocument/2006/relationships/hyperlink" Target="http://likumi.lv/doc.php?id=18534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ikumi.lv/doc.php?id=185342" TargetMode="External"/><Relationship Id="rId11" Type="http://schemas.openxmlformats.org/officeDocument/2006/relationships/hyperlink" Target="http://likumi.lv/doc.php?id=149906" TargetMode="External"/><Relationship Id="rId5" Type="http://schemas.openxmlformats.org/officeDocument/2006/relationships/hyperlink" Target="http://likumi.lv/doc.php?id=185342" TargetMode="External"/><Relationship Id="rId15" Type="http://schemas.openxmlformats.org/officeDocument/2006/relationships/hyperlink" Target="http://likumi.lv/doc.php?id=221382" TargetMode="External"/><Relationship Id="rId10" Type="http://schemas.openxmlformats.org/officeDocument/2006/relationships/hyperlink" Target="http://likumi.lv/doc.php?id=221382"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likumi.lv/doc.php?id=185342" TargetMode="External"/><Relationship Id="rId14" Type="http://schemas.openxmlformats.org/officeDocument/2006/relationships/hyperlink" Target="http://likumi.lv/doc.php?id=1853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6431</Words>
  <Characters>3666</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1</cp:revision>
  <cp:lastPrinted>2016-03-14T10:54:00Z</cp:lastPrinted>
  <dcterms:created xsi:type="dcterms:W3CDTF">2016-03-14T10:46:00Z</dcterms:created>
  <dcterms:modified xsi:type="dcterms:W3CDTF">2016-03-14T11:11:00Z</dcterms:modified>
</cp:coreProperties>
</file>